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>INSTRUMENTO DE MEDIÇÃO DE RESULTADOS (IMR)</w:t>
      </w:r>
    </w:p>
    <w:p>
      <w:pPr>
        <w:pStyle w:val="Normal"/>
        <w:rPr/>
      </w:pPr>
      <w:r>
        <w:rPr/>
        <w:t>Serviços de Vistoria Veicular – UniPRF</w:t>
      </w:r>
    </w:p>
    <w:p>
      <w:pPr>
        <w:pStyle w:val="Normal"/>
        <w:rPr/>
      </w:pPr>
      <w:r>
        <w:rPr/>
        <w:t>Contrato: Prestação de Serviços de Vistoria Veicular</w:t>
        <w:br/>
        <w:t>Contratante: Universidade Corporativa da Polícia Rodoviária Federal (UniPRF)</w:t>
        <w:br/>
        <w:t>Base Legal: Lei nº 14.133/2021 e Decreto nº 11.246/2022</w:t>
      </w:r>
    </w:p>
    <w:p>
      <w:pPr>
        <w:pStyle w:val="Normal"/>
        <w:rPr/>
      </w:pPr>
      <w:r>
        <w:rPr/>
        <w:t>1. INFORMAÇÕES GERAIS</w:t>
      </w:r>
    </w:p>
    <w:p>
      <w:pPr>
        <w:pStyle w:val="Normal"/>
        <w:rPr/>
      </w:pPr>
      <w:r>
        <w:rPr/>
        <w:t>1.1 Definição</w:t>
      </w:r>
    </w:p>
    <w:p>
      <w:pPr>
        <w:pStyle w:val="Normal"/>
        <w:rPr/>
      </w:pPr>
      <w:r>
        <w:rPr/>
        <w:t>Este Instrumento de Medição de Resultados (IMR) estabelece os critérios objetivos para avaliar a qualidade dos serviços de vistoria veicular prestados à UniPRF, definindo indicadores, metas, mecanismos de cálculo, formas de acompanhamento e regras para adequação do pagamento em caso de descumprimento das metas.</w:t>
      </w:r>
    </w:p>
    <w:p>
      <w:pPr>
        <w:pStyle w:val="Normal"/>
        <w:rPr/>
      </w:pPr>
      <w:r>
        <w:rPr/>
        <w:t>1.2 Objetivo</w:t>
      </w:r>
    </w:p>
    <w:p>
      <w:pPr>
        <w:pStyle w:val="Normal"/>
        <w:rPr/>
      </w:pPr>
      <w:r>
        <w:rPr/>
        <w:t>O IMR visa assegurar eficiência na contratação pública, de modo que a remuneração seja proporcional ao desempenho efetivamente alcançado, em consonância com os princípios de economicidade e produtividade. O pagamento será ajustado conforme a pontuação obtida: serviços executados com qualidade inferior à contratada estarão sujeitos a descontos proporcionais.</w:t>
      </w:r>
    </w:p>
    <w:p>
      <w:pPr>
        <w:pStyle w:val="Normal"/>
        <w:rPr/>
      </w:pPr>
      <w:r>
        <w:rPr/>
        <w:t>1.3 Classificação do Serviço</w:t>
      </w:r>
    </w:p>
    <w:p>
      <w:pPr>
        <w:pStyle w:val="Normal"/>
        <w:numPr>
          <w:ilvl w:val="0"/>
          <w:numId w:val="1"/>
        </w:numPr>
        <w:rPr/>
      </w:pPr>
      <w:r>
        <w:rPr/>
        <w:t>Tipo: Serviço continuado sem dedicação exclusiva de mão de obra</w:t>
      </w:r>
    </w:p>
    <w:p>
      <w:pPr>
        <w:pStyle w:val="Normal"/>
        <w:numPr>
          <w:ilvl w:val="0"/>
          <w:numId w:val="1"/>
        </w:numPr>
        <w:rPr/>
      </w:pPr>
      <w:r>
        <w:rPr/>
        <w:t>Regime: Execução por empreitada de preço unitário</w:t>
      </w:r>
    </w:p>
    <w:p>
      <w:pPr>
        <w:pStyle w:val="Normal"/>
        <w:numPr>
          <w:ilvl w:val="0"/>
          <w:numId w:val="1"/>
        </w:numPr>
        <w:rPr/>
      </w:pPr>
      <w:r>
        <w:rPr/>
        <w:t>Modelo: Execução por Ordem de Serviço (OS)</w:t>
      </w:r>
    </w:p>
    <w:p>
      <w:pPr>
        <w:pStyle w:val="Normal"/>
        <w:rPr/>
      </w:pPr>
      <w:r>
        <w:rPr/>
        <w:t>1.4 Fundamento Legal</w:t>
      </w:r>
    </w:p>
    <w:p>
      <w:pPr>
        <w:pStyle w:val="Normal"/>
        <w:rPr/>
      </w:pPr>
      <w:r>
        <w:rPr/>
        <w:t>Fundamenta-se no art. 6º, XXIII, alínea “g”, da Lei nº 14.133/2021, que exige critérios de medição e pagamento, e no art. 22 do Decreto nº 11.246/2022, que trata da fiscalização contratual.</w:t>
      </w:r>
    </w:p>
    <w:p>
      <w:pPr>
        <w:pStyle w:val="Normal"/>
        <w:rPr/>
      </w:pPr>
      <w:r>
        <w:rPr/>
        <w:t>2. INDICADORES, METAS E MECANISMOS DE CÁLCULO</w:t>
      </w:r>
    </w:p>
    <w:p>
      <w:pPr>
        <w:pStyle w:val="Normal"/>
        <w:rPr/>
      </w:pPr>
      <w:r>
        <w:rPr/>
        <w:t>Os indicadores foram selecionados com base nas atividades críticas do serviço de vistoria veicular executado por OS, considerando três dimensões principais:</w:t>
      </w:r>
    </w:p>
    <w:p>
      <w:pPr>
        <w:pStyle w:val="Normal"/>
        <w:numPr>
          <w:ilvl w:val="0"/>
          <w:numId w:val="2"/>
        </w:numPr>
        <w:rPr/>
      </w:pPr>
      <w:r>
        <w:rPr/>
        <w:t>Celeridade na Resposta (Fase 2 da OS)</w:t>
      </w:r>
    </w:p>
    <w:p>
      <w:pPr>
        <w:pStyle w:val="Normal"/>
        <w:numPr>
          <w:ilvl w:val="0"/>
          <w:numId w:val="2"/>
        </w:numPr>
        <w:rPr/>
      </w:pPr>
      <w:r>
        <w:rPr/>
        <w:t>Qualidade do Resultado (Fases 3 e 4 da OS)</w:t>
      </w:r>
    </w:p>
    <w:p>
      <w:pPr>
        <w:pStyle w:val="Normal"/>
        <w:numPr>
          <w:ilvl w:val="0"/>
          <w:numId w:val="2"/>
        </w:numPr>
        <w:rPr/>
      </w:pPr>
      <w:r>
        <w:rPr/>
        <w:t>Conformidade de Prazo (Execução total da OS)</w:t>
      </w:r>
    </w:p>
    <w:p>
      <w:pPr>
        <w:pStyle w:val="Normal"/>
        <w:rPr/>
      </w:pPr>
      <w:r>
        <w:rPr/>
        <w:t>2.1 Quadro de Indicadores</w:t>
      </w:r>
    </w:p>
    <w:tbl>
      <w:tblPr>
        <w:tblStyle w:val="Tabelacomgrade"/>
        <w:tblW w:w="1399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99"/>
        <w:gridCol w:w="1504"/>
        <w:gridCol w:w="1352"/>
        <w:gridCol w:w="1550"/>
        <w:gridCol w:w="2447"/>
        <w:gridCol w:w="1875"/>
        <w:gridCol w:w="1441"/>
        <w:gridCol w:w="1451"/>
        <w:gridCol w:w="1173"/>
      </w:tblGrid>
      <w:tr>
        <w:trPr/>
        <w:tc>
          <w:tcPr>
            <w:tcW w:w="11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b/>
                <w:bCs/>
              </w:rPr>
              <w:t>Aspecto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150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Indicador</w:t>
            </w:r>
          </w:p>
        </w:tc>
        <w:tc>
          <w:tcPr>
            <w:tcW w:w="135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Finalidade</w:t>
            </w:r>
          </w:p>
        </w:tc>
        <w:tc>
          <w:tcPr>
            <w:tcW w:w="155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t>Meta</w:t>
            </w:r>
          </w:p>
        </w:tc>
        <w:tc>
          <w:tcPr>
            <w:tcW w:w="244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Instrumento de Medição</w:t>
            </w:r>
          </w:p>
        </w:tc>
        <w:tc>
          <w:tcPr>
            <w:tcW w:w="18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Acompanhamento</w:t>
            </w:r>
          </w:p>
        </w:tc>
        <w:tc>
          <w:tcPr>
            <w:tcW w:w="144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Periodicidade</w:t>
            </w:r>
          </w:p>
        </w:tc>
        <w:tc>
          <w:tcPr>
            <w:tcW w:w="145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Fórmula de Cálculo</w:t>
            </w:r>
          </w:p>
        </w:tc>
        <w:tc>
          <w:tcPr>
            <w:tcW w:w="11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Pontuação Máxima</w:t>
            </w:r>
          </w:p>
        </w:tc>
      </w:tr>
      <w:tr>
        <w:trPr/>
        <w:tc>
          <w:tcPr>
            <w:tcW w:w="11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Celeridade</w:t>
            </w:r>
          </w:p>
        </w:tc>
        <w:tc>
          <w:tcPr>
            <w:tcW w:w="150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Aderência aos Prazos de Agendamento da OS</w:t>
            </w:r>
          </w:p>
        </w:tc>
        <w:tc>
          <w:tcPr>
            <w:tcW w:w="135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Medir a rapidez da contratada em confirmar recebimento e agendar a vistoria</w:t>
            </w:r>
          </w:p>
        </w:tc>
        <w:tc>
          <w:tcPr>
            <w:tcW w:w="155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• </w:t>
            </w:r>
            <w:r>
              <w:rPr/>
              <w:t xml:space="preserve">100% de confirmação em até 24h </w:t>
              <w:br/>
              <w:t>• 99% de agendamentos confirmados em até 2 dias úteis.</w:t>
            </w:r>
          </w:p>
        </w:tc>
        <w:tc>
          <w:tcPr>
            <w:tcW w:w="244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Registro formal (e-mail, sistema ou documento)</w:t>
            </w:r>
          </w:p>
        </w:tc>
        <w:tc>
          <w:tcPr>
            <w:tcW w:w="18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Fiscal Técnico/Gestor do Contrato</w:t>
            </w:r>
          </w:p>
        </w:tc>
        <w:tc>
          <w:tcPr>
            <w:tcW w:w="144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Por OS e consolidação mensal.</w:t>
            </w:r>
          </w:p>
        </w:tc>
        <w:tc>
          <w:tcPr>
            <w:tcW w:w="145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(OS com confirmação e agendamento dentro do prazo / Total de OS) × 100.</w:t>
            </w:r>
          </w:p>
        </w:tc>
        <w:tc>
          <w:tcPr>
            <w:tcW w:w="11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20 pontos</w:t>
            </w:r>
          </w:p>
        </w:tc>
      </w:tr>
      <w:tr>
        <w:trPr/>
        <w:tc>
          <w:tcPr>
            <w:tcW w:w="11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Qualidade</w:t>
            </w:r>
          </w:p>
        </w:tc>
        <w:tc>
          <w:tcPr>
            <w:tcW w:w="150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Conformidade Técnica e Documental da Vistoria</w:t>
            </w:r>
          </w:p>
        </w:tc>
        <w:tc>
          <w:tcPr>
            <w:tcW w:w="135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Garantir que laudo e vistoria atendam às normas do DETRAN/SC e da UniPRF.</w:t>
            </w:r>
          </w:p>
        </w:tc>
        <w:tc>
          <w:tcPr>
            <w:tcW w:w="155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98% dos relatórios aceitos na primeira checagem</w:t>
            </w:r>
          </w:p>
        </w:tc>
        <w:tc>
          <w:tcPr>
            <w:tcW w:w="244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Termo de Recebimento e registro de ocorrências/notificações</w:t>
            </w:r>
          </w:p>
        </w:tc>
        <w:tc>
          <w:tcPr>
            <w:tcW w:w="18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Fiscal Técnico</w:t>
            </w:r>
          </w:p>
        </w:tc>
        <w:tc>
          <w:tcPr>
            <w:tcW w:w="144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Por OS e consolidação mensal</w:t>
            </w:r>
          </w:p>
        </w:tc>
        <w:tc>
          <w:tcPr>
            <w:tcW w:w="145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(Laudos aceitos na 1ª checagem / Total de vistorias concluídas) × 100.</w:t>
            </w:r>
          </w:p>
        </w:tc>
        <w:tc>
          <w:tcPr>
            <w:tcW w:w="11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50 pontos</w:t>
            </w:r>
          </w:p>
        </w:tc>
      </w:tr>
      <w:tr>
        <w:trPr/>
        <w:tc>
          <w:tcPr>
            <w:tcW w:w="11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Prazo</w:t>
            </w:r>
          </w:p>
        </w:tc>
        <w:tc>
          <w:tcPr>
            <w:tcW w:w="150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Cumprimento dos Prazos de Execução Total da OS.</w:t>
            </w:r>
          </w:p>
        </w:tc>
        <w:tc>
          <w:tcPr>
            <w:tcW w:w="135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Assegurar a conclusão em prazo máximo.</w:t>
            </w:r>
          </w:p>
        </w:tc>
        <w:tc>
          <w:tcPr>
            <w:tcW w:w="155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97% das OS concluídas e entregues em até 5 dias úteis</w:t>
            </w:r>
          </w:p>
        </w:tc>
        <w:tc>
          <w:tcPr>
            <w:tcW w:w="244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Relatório de Execução da OS</w:t>
            </w:r>
          </w:p>
        </w:tc>
        <w:tc>
          <w:tcPr>
            <w:tcW w:w="18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Fiscal Técnico/Gestor do Contrato</w:t>
            </w:r>
          </w:p>
        </w:tc>
        <w:tc>
          <w:tcPr>
            <w:tcW w:w="144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Por OS e consolidação mensal</w:t>
            </w:r>
          </w:p>
        </w:tc>
        <w:tc>
          <w:tcPr>
            <w:tcW w:w="145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(OS concluídas em ≤5 dias / Total de OS) × 100.</w:t>
            </w:r>
          </w:p>
        </w:tc>
        <w:tc>
          <w:tcPr>
            <w:tcW w:w="117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30 pontos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>
          <w:b/>
          <w:bCs/>
        </w:rPr>
        <w:t>Pontuação Total Máxima: 100 pontos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2.2 Detalhamento dos Indicadores</w:t>
      </w:r>
    </w:p>
    <w:p>
      <w:pPr>
        <w:pStyle w:val="Normal"/>
        <w:rPr/>
      </w:pPr>
      <w:r>
        <w:rPr>
          <w:b/>
          <w:bCs/>
        </w:rPr>
        <w:t>Indicador 01 – Aderência aos Prazos de Agendamento</w:t>
      </w:r>
      <w:r>
        <w:rPr/>
        <w:br/>
        <w:t>Avalia a capacidade da contratada em confirmar o recebimento das OS e agendar a vistoria.</w:t>
      </w:r>
    </w:p>
    <w:p>
      <w:pPr>
        <w:pStyle w:val="Normal"/>
        <w:ind w:left="720" w:hanging="0"/>
        <w:rPr/>
      </w:pPr>
      <w:r>
        <w:rPr>
          <w:b/>
          <w:bCs/>
        </w:rPr>
        <w:t>Pesos:</w:t>
      </w:r>
      <w:r>
        <w:rPr/>
        <w:t xml:space="preserve"> Recebimento em até 24h (40%); Agendamento em até 2 dias úteis (60%).</w:t>
      </w:r>
    </w:p>
    <w:p>
      <w:pPr>
        <w:pStyle w:val="Normal"/>
        <w:ind w:left="720" w:hanging="0"/>
        <w:rPr/>
      </w:pPr>
      <w:r>
        <w:rPr>
          <w:b/>
          <w:bCs/>
        </w:rPr>
        <w:t>Tolerâncias:</w:t>
      </w:r>
      <w:r>
        <w:rPr/>
        <w:t xml:space="preserve"> Até 2h de atraso na confirmação: sem desconto; acima disso: desconto proporcional.</w:t>
      </w:r>
    </w:p>
    <w:p>
      <w:pPr>
        <w:pStyle w:val="Normal"/>
        <w:rPr/>
      </w:pPr>
      <w:r>
        <w:rPr>
          <w:b/>
          <w:bCs/>
        </w:rPr>
        <w:t>Indicador 02 – Conformidade Técnica e Documental</w:t>
      </w:r>
      <w:r>
        <w:rPr/>
        <w:br/>
        <w:t>Mede a qualidade técnica e documental dos laudos.</w:t>
      </w:r>
    </w:p>
    <w:p>
      <w:pPr>
        <w:pStyle w:val="Normal"/>
        <w:ind w:left="720" w:hanging="0"/>
        <w:rPr/>
      </w:pPr>
      <w:r>
        <w:rPr>
          <w:b/>
          <w:bCs/>
        </w:rPr>
        <w:t>Pesos:</w:t>
      </w:r>
      <w:r>
        <w:rPr/>
        <w:t xml:space="preserve"> Conformidade técnica (60%); Conformidade documental (40%).</w:t>
      </w:r>
    </w:p>
    <w:p>
      <w:pPr>
        <w:pStyle w:val="Normal"/>
        <w:ind w:left="720" w:hanging="0"/>
        <w:rPr/>
      </w:pPr>
      <w:r>
        <w:rPr>
          <w:b/>
          <w:bCs/>
        </w:rPr>
        <w:t>Não conformidades típicas:</w:t>
      </w:r>
      <w:r>
        <w:rPr/>
        <w:t xml:space="preserve"> Erros em chassi ou motor; documentação fotográfica inadequada; laudo incompleto; descumprimento de normas do CONTRAN.</w:t>
      </w:r>
    </w:p>
    <w:p>
      <w:pPr>
        <w:pStyle w:val="Normal"/>
        <w:rPr/>
      </w:pPr>
      <w:r>
        <w:rPr>
          <w:b/>
          <w:bCs/>
        </w:rPr>
        <w:t>Indicador 03 – Cumprimento dos Prazos de Execução</w:t>
      </w:r>
      <w:r>
        <w:rPr/>
        <w:br/>
        <w:t>Verifica se o prazo total (emissão da OS até entrega final) é respeitado.</w:t>
      </w:r>
    </w:p>
    <w:p>
      <w:pPr>
        <w:pStyle w:val="Normal"/>
        <w:ind w:left="720" w:hanging="0"/>
        <w:rPr/>
      </w:pPr>
      <w:r>
        <w:rPr>
          <w:b/>
          <w:bCs/>
        </w:rPr>
        <w:t>Prazos:</w:t>
      </w:r>
      <w:r>
        <w:rPr/>
        <w:t xml:space="preserve"> Padrão: 5 dias úteis; OS urgentes: 3 dias úteis.</w:t>
      </w:r>
    </w:p>
    <w:p>
      <w:pPr>
        <w:pStyle w:val="Normal"/>
        <w:ind w:left="720" w:hanging="0"/>
        <w:rPr/>
      </w:pPr>
      <w:r>
        <w:rPr>
          <w:b/>
          <w:bCs/>
        </w:rPr>
        <w:t>Tolerâncias:</w:t>
      </w:r>
      <w:r>
        <w:rPr/>
        <w:t xml:space="preserve"> Até 4h de atraso: sem desconto; acima disso: desconto proporcional.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3. ADEQUAÇÃO DO PAGAMENTO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3.1 Faixas de Pontuação e Descontos</w:t>
      </w:r>
    </w:p>
    <w:tbl>
      <w:tblPr>
        <w:tblStyle w:val="Tabelacomgrade"/>
        <w:tblW w:w="1399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498"/>
        <w:gridCol w:w="3499"/>
        <w:gridCol w:w="3498"/>
        <w:gridCol w:w="3498"/>
      </w:tblGrid>
      <w:tr>
        <w:trPr/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Faixa</w:t>
            </w:r>
          </w:p>
        </w:tc>
        <w:tc>
          <w:tcPr>
            <w:tcW w:w="34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Pontuação IMR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Desconto no Faturamento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Classificação</w:t>
            </w:r>
          </w:p>
        </w:tc>
      </w:tr>
      <w:tr>
        <w:trPr/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</w:t>
            </w:r>
          </w:p>
        </w:tc>
        <w:tc>
          <w:tcPr>
            <w:tcW w:w="34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97 a 100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0%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Excelente</w:t>
            </w:r>
          </w:p>
        </w:tc>
      </w:tr>
      <w:tr>
        <w:trPr/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</w:t>
            </w:r>
          </w:p>
        </w:tc>
        <w:tc>
          <w:tcPr>
            <w:tcW w:w="34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95 a 96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1%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tabs>
                <w:tab w:val="left" w:pos="520" w:leader="none"/>
              </w:tabs>
              <w:spacing w:lineRule="auto" w:line="240" w:before="0" w:after="0"/>
              <w:rPr/>
            </w:pPr>
            <w:r>
              <w:rPr/>
              <w:t>Muito Bom</w:t>
            </w:r>
          </w:p>
        </w:tc>
      </w:tr>
      <w:tr>
        <w:trPr/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3</w:t>
            </w:r>
          </w:p>
        </w:tc>
        <w:tc>
          <w:tcPr>
            <w:tcW w:w="34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90 a 94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2%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Bom</w:t>
            </w:r>
          </w:p>
        </w:tc>
      </w:tr>
      <w:tr>
        <w:trPr/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4</w:t>
            </w:r>
          </w:p>
        </w:tc>
        <w:tc>
          <w:tcPr>
            <w:tcW w:w="34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80 a 89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4%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Satisfatório</w:t>
            </w:r>
          </w:p>
        </w:tc>
      </w:tr>
      <w:tr>
        <w:trPr/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5</w:t>
            </w:r>
          </w:p>
        </w:tc>
        <w:tc>
          <w:tcPr>
            <w:tcW w:w="34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70 a 79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6%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Regular</w:t>
            </w:r>
          </w:p>
        </w:tc>
      </w:tr>
      <w:tr>
        <w:trPr/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6</w:t>
            </w:r>
          </w:p>
        </w:tc>
        <w:tc>
          <w:tcPr>
            <w:tcW w:w="34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60 a 69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8%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Insatisfatório</w:t>
            </w:r>
          </w:p>
        </w:tc>
      </w:tr>
      <w:tr>
        <w:trPr/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7</w:t>
            </w:r>
          </w:p>
        </w:tc>
        <w:tc>
          <w:tcPr>
            <w:tcW w:w="34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50 a 59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10%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Deficiente</w:t>
            </w:r>
          </w:p>
        </w:tc>
      </w:tr>
      <w:tr>
        <w:trPr/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8</w:t>
            </w:r>
          </w:p>
        </w:tc>
        <w:tc>
          <w:tcPr>
            <w:tcW w:w="34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20 a 49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12% a 15%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Crítico</w:t>
            </w:r>
          </w:p>
        </w:tc>
      </w:tr>
      <w:tr>
        <w:trPr/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9</w:t>
            </w:r>
          </w:p>
        </w:tc>
        <w:tc>
          <w:tcPr>
            <w:tcW w:w="349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 a 19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18% a 20%</w:t>
            </w:r>
          </w:p>
        </w:tc>
        <w:tc>
          <w:tcPr>
            <w:tcW w:w="349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Inaceitável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3.2 Procedimento de Aplicação</w:t>
      </w:r>
    </w:p>
    <w:p>
      <w:pPr>
        <w:pStyle w:val="Normal"/>
        <w:ind w:left="720" w:hanging="0"/>
        <w:rPr/>
      </w:pPr>
      <w:r>
        <w:rPr/>
        <w:t>O IMR será apurado mensalmente, considerando todas as OS executadas.</w:t>
      </w:r>
    </w:p>
    <w:p>
      <w:pPr>
        <w:pStyle w:val="Normal"/>
        <w:ind w:left="720" w:hanging="0"/>
        <w:rPr/>
      </w:pPr>
      <w:r>
        <w:rPr/>
        <w:t>A pontuação final corresponderá à soma ponderada dos três indicadores.</w:t>
      </w:r>
    </w:p>
    <w:p>
      <w:pPr>
        <w:pStyle w:val="Normal"/>
        <w:ind w:left="720" w:hanging="0"/>
        <w:rPr/>
      </w:pPr>
      <w:r>
        <w:rPr/>
        <w:t>A contratada será informada da pontuação até o 5º dia útil do mês seguinte.</w:t>
      </w:r>
    </w:p>
    <w:p>
      <w:pPr>
        <w:pStyle w:val="Normal"/>
        <w:ind w:left="720" w:hanging="0"/>
        <w:rPr/>
      </w:pPr>
      <w:r>
        <w:rPr/>
        <w:t>Haverá prazo de 3 dias úteis para contestação, mediante justificativa documentada.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3.3 Procedimento de Pagamento</w:t>
      </w:r>
    </w:p>
    <w:p>
      <w:pPr>
        <w:pStyle w:val="Normal"/>
        <w:numPr>
          <w:ilvl w:val="0"/>
          <w:numId w:val="3"/>
        </w:numPr>
        <w:rPr/>
      </w:pPr>
      <w:r>
        <w:rPr/>
        <w:t>Medição mensal dos serviços pelo Fiscal Técnico.</w:t>
      </w:r>
    </w:p>
    <w:p>
      <w:pPr>
        <w:pStyle w:val="Normal"/>
        <w:numPr>
          <w:ilvl w:val="0"/>
          <w:numId w:val="3"/>
        </w:numPr>
        <w:rPr/>
      </w:pPr>
      <w:r>
        <w:rPr/>
        <w:t>Aplicação do IMR e descontos pelo Gestor do Contrato.</w:t>
      </w:r>
    </w:p>
    <w:p>
      <w:pPr>
        <w:pStyle w:val="Normal"/>
        <w:numPr>
          <w:ilvl w:val="0"/>
          <w:numId w:val="3"/>
        </w:numPr>
        <w:rPr/>
      </w:pPr>
      <w:r>
        <w:rPr/>
        <w:t>Emissão da nota fiscal pela contratada, já com os descontos aplicados.</w:t>
      </w:r>
    </w:p>
    <w:p>
      <w:pPr>
        <w:pStyle w:val="Normal"/>
        <w:numPr>
          <w:ilvl w:val="0"/>
          <w:numId w:val="3"/>
        </w:numPr>
        <w:rPr/>
      </w:pPr>
      <w:r>
        <w:rPr/>
        <w:t>Atesto da nota fiscal pelo Fiscal Administrativo.</w:t>
      </w:r>
    </w:p>
    <w:p>
      <w:pPr>
        <w:pStyle w:val="Normal"/>
        <w:numPr>
          <w:ilvl w:val="0"/>
          <w:numId w:val="3"/>
        </w:numPr>
        <w:rPr/>
      </w:pPr>
      <w:r>
        <w:rPr/>
        <w:t>Pagamento conforme cronograma contratual.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4. SITUAÇÕES ESPECIAIS E SANÇÕES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4.1 Inexecução Parcial</w:t>
      </w:r>
    </w:p>
    <w:p>
      <w:pPr>
        <w:pStyle w:val="Normal"/>
        <w:rPr/>
      </w:pPr>
      <w:r>
        <w:rPr/>
        <w:t>Caracteriza-se quando:</w:t>
      </w:r>
    </w:p>
    <w:p>
      <w:pPr>
        <w:pStyle w:val="Normal"/>
        <w:ind w:left="720" w:hanging="0"/>
        <w:rPr/>
      </w:pPr>
      <w:r>
        <w:rPr/>
        <w:t>Pontuação ≤ 20 pontos em qualquer mês;</w:t>
      </w:r>
    </w:p>
    <w:p>
      <w:pPr>
        <w:pStyle w:val="Normal"/>
        <w:ind w:left="720" w:hanging="0"/>
        <w:rPr/>
      </w:pPr>
      <w:r>
        <w:rPr/>
        <w:t>Pontuação ≤ 50 pontos por 3 meses consecutivos;</w:t>
      </w:r>
    </w:p>
    <w:p>
      <w:pPr>
        <w:pStyle w:val="Normal"/>
        <w:ind w:left="720" w:hanging="0"/>
        <w:rPr/>
      </w:pPr>
      <w:r>
        <w:rPr/>
        <w:t>Reincidência em não conformidades graves.</w:t>
      </w:r>
    </w:p>
    <w:p>
      <w:pPr>
        <w:pStyle w:val="Normal"/>
        <w:rPr/>
      </w:pPr>
      <w:r>
        <w:rPr>
          <w:b/>
          <w:bCs/>
        </w:rPr>
        <w:t>Consequências:</w:t>
      </w:r>
      <w:r>
        <w:rPr/>
        <w:t xml:space="preserve"> Abertura de processo administrativo, aplicação de sanções contratuais e eventual revisão da continuidade do contrato.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4.2 Tolerâncias e Notificações</w:t>
      </w:r>
    </w:p>
    <w:p>
      <w:pPr>
        <w:pStyle w:val="Normal"/>
        <w:ind w:left="720" w:hanging="0"/>
        <w:rPr/>
      </w:pPr>
      <w:r>
        <w:rPr>
          <w:b/>
          <w:bCs/>
        </w:rPr>
        <w:t>Primeira ocorrência:</w:t>
      </w:r>
      <w:r>
        <w:rPr/>
        <w:t xml:space="preserve"> Notificação de alerta para diferenças ínfimas em indicadores não críticos.</w:t>
      </w:r>
    </w:p>
    <w:p>
      <w:pPr>
        <w:pStyle w:val="Normal"/>
        <w:ind w:left="720" w:hanging="0"/>
        <w:rPr/>
      </w:pPr>
      <w:r>
        <w:rPr>
          <w:b/>
          <w:bCs/>
        </w:rPr>
        <w:t>Reincidência:</w:t>
      </w:r>
      <w:r>
        <w:rPr/>
        <w:t xml:space="preserve"> Aplicação integral dos descontos.</w:t>
      </w:r>
    </w:p>
    <w:p>
      <w:pPr>
        <w:pStyle w:val="Normal"/>
        <w:ind w:left="720" w:hanging="0"/>
        <w:rPr/>
      </w:pPr>
      <w:r>
        <w:rPr>
          <w:b/>
          <w:bCs/>
        </w:rPr>
        <w:t>Força maior:</w:t>
      </w:r>
      <w:r>
        <w:rPr/>
        <w:t xml:space="preserve"> Situações comprovadamente alheias à vontade da contratada poderão excluir a aplicação de descontos.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4.3 Correção de Falhas</w:t>
      </w:r>
    </w:p>
    <w:p>
      <w:pPr>
        <w:pStyle w:val="Normal"/>
        <w:ind w:left="720" w:hanging="0"/>
        <w:rPr/>
      </w:pPr>
      <w:r>
        <w:rPr/>
        <w:t>A contratada deve corrigir, às suas expensas, quaisquer vícios ou defeitos identificados.</w:t>
      </w:r>
    </w:p>
    <w:p>
      <w:pPr>
        <w:pStyle w:val="Normal"/>
        <w:ind w:left="720" w:hanging="0"/>
        <w:rPr/>
      </w:pPr>
      <w:r>
        <w:rPr/>
        <w:t>Prazo para correção: até 2 dias úteis da notificação.</w:t>
      </w:r>
    </w:p>
    <w:p>
      <w:pPr>
        <w:pStyle w:val="Normal"/>
        <w:ind w:left="720" w:hanging="0"/>
        <w:rPr/>
      </w:pPr>
      <w:r>
        <w:rPr/>
        <w:t>A medição não será atestada até a regularização.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5. ACOMPANHAMENTO E CONTROLE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5.1 Responsabilidades</w:t>
      </w:r>
    </w:p>
    <w:p>
      <w:pPr>
        <w:pStyle w:val="Normal"/>
        <w:ind w:left="720" w:hanging="0"/>
        <w:rPr/>
      </w:pPr>
      <w:r>
        <w:rPr>
          <w:b/>
          <w:bCs/>
        </w:rPr>
        <w:t>Gestor do Contrato:</w:t>
      </w:r>
      <w:r>
        <w:rPr/>
        <w:t xml:space="preserve"> Coordenar a aplicação do IMR, emitir relatórios mensais e decidir sobre contestações.</w:t>
      </w:r>
    </w:p>
    <w:p>
      <w:pPr>
        <w:pStyle w:val="Normal"/>
        <w:ind w:left="720" w:hanging="0"/>
        <w:rPr/>
      </w:pPr>
      <w:r>
        <w:rPr>
          <w:b/>
          <w:bCs/>
        </w:rPr>
        <w:t>Fiscal Técnico:</w:t>
      </w:r>
      <w:r>
        <w:rPr/>
        <w:t xml:space="preserve"> Aferir indicadores, registrar não conformidades e propor melhorias.</w:t>
      </w:r>
    </w:p>
    <w:p>
      <w:pPr>
        <w:pStyle w:val="Normal"/>
        <w:ind w:left="720" w:hanging="0"/>
        <w:rPr/>
      </w:pPr>
      <w:r>
        <w:rPr>
          <w:b/>
          <w:bCs/>
        </w:rPr>
        <w:t>Fiscal Administrativo:</w:t>
      </w:r>
      <w:r>
        <w:rPr/>
        <w:t xml:space="preserve"> Verificar descontos, controlar prazos e atestar medições.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5.2 Relatórios e Registros</w:t>
      </w:r>
    </w:p>
    <w:p>
      <w:pPr>
        <w:pStyle w:val="Normal"/>
        <w:rPr/>
      </w:pPr>
      <w:r>
        <w:rPr/>
        <w:t>Será elaborado Relatório Mensal de IMR com:</w:t>
      </w:r>
    </w:p>
    <w:p>
      <w:pPr>
        <w:pStyle w:val="Normal"/>
        <w:ind w:left="720" w:hanging="0"/>
        <w:rPr/>
      </w:pPr>
      <w:r>
        <w:rPr/>
        <w:t>Pontuação de cada indicador;</w:t>
      </w:r>
    </w:p>
    <w:p>
      <w:pPr>
        <w:pStyle w:val="Normal"/>
        <w:ind w:left="720" w:hanging="0"/>
        <w:rPr/>
      </w:pPr>
      <w:r>
        <w:rPr/>
        <w:t>Descontos aplicados;</w:t>
      </w:r>
    </w:p>
    <w:p>
      <w:pPr>
        <w:pStyle w:val="Normal"/>
        <w:ind w:left="720" w:hanging="0"/>
        <w:rPr/>
      </w:pPr>
      <w:r>
        <w:rPr/>
        <w:t>Principais não conformidades;</w:t>
      </w:r>
    </w:p>
    <w:p>
      <w:pPr>
        <w:pStyle w:val="Normal"/>
        <w:ind w:left="720" w:hanging="0"/>
        <w:rPr/>
      </w:pPr>
      <w:r>
        <w:rPr/>
        <w:t>Ações corretivas implementadas.</w:t>
      </w:r>
    </w:p>
    <w:p>
      <w:pPr>
        <w:pStyle w:val="Normal"/>
        <w:rPr/>
      </w:pPr>
      <w:r>
        <w:rPr/>
        <w:t>O histórico de desempenho subsidiará decisões de prorrogação ou renovação contratual.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5.3 Revisão do IMR</w:t>
      </w:r>
    </w:p>
    <w:p>
      <w:pPr>
        <w:pStyle w:val="Normal"/>
        <w:ind w:left="720" w:hanging="0"/>
        <w:rPr/>
      </w:pPr>
      <w:r>
        <w:rPr/>
        <w:t>Periodicidade: anual ou quando houver alterações significativas no escopo.</w:t>
      </w:r>
    </w:p>
    <w:p>
      <w:pPr>
        <w:pStyle w:val="Normal"/>
        <w:ind w:left="720" w:hanging="0"/>
        <w:rPr/>
      </w:pPr>
      <w:r>
        <w:rPr/>
        <w:t>Critérios: adequação às necessidades da UniPRF e efetividade na melhoria da qualidade.</w:t>
      </w:r>
    </w:p>
    <w:p>
      <w:pPr>
        <w:pStyle w:val="Normal"/>
        <w:ind w:left="720" w:hanging="0"/>
        <w:rPr/>
      </w:pPr>
      <w:r>
        <w:rPr/>
        <w:t>Alterações somente por termo aditivo ao contrato.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6. DISPOSIÇÕES FINAIS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6.1 Vigência</w:t>
      </w:r>
    </w:p>
    <w:p>
      <w:pPr>
        <w:pStyle w:val="Normal"/>
        <w:rPr/>
      </w:pPr>
      <w:r>
        <w:rPr/>
        <w:t>Este IMR entra em vigor na data de assinatura do contrato e permanece válido durante toda a sua vigência.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6.2 Complementaridade</w:t>
      </w:r>
    </w:p>
    <w:p>
      <w:pPr>
        <w:pStyle w:val="Normal"/>
        <w:rPr/>
      </w:pPr>
      <w:r>
        <w:rPr/>
        <w:t>A aplicação do IMR não substitui outras formas de controle e fiscalização previstas em contrato, mas é complementar a elas.</w:t>
      </w:r>
    </w:p>
    <w:p>
      <w:pPr>
        <w:pStyle w:val="Normal"/>
        <w:rPr>
          <w:b/>
          <w:b/>
          <w:bCs/>
        </w:rPr>
      </w:pPr>
      <w:r>
        <w:rPr>
          <w:b/>
          <w:bCs/>
        </w:rPr>
        <w:t>6.3 Transparência</w:t>
      </w:r>
    </w:p>
    <w:p>
      <w:pPr>
        <w:pStyle w:val="Normal"/>
        <w:spacing w:before="0" w:after="160"/>
        <w:rPr/>
      </w:pPr>
      <w:r>
        <w:rPr/>
        <w:t>Todos os dados e cálculos do IMR serão disponibilizados à contratada, garantindo total transparência no processo de avaliação.</w:t>
      </w:r>
    </w:p>
    <w:sectPr>
      <w:type w:val="nextPage"/>
      <w:pgSz w:orient="landscape" w:w="16838" w:h="11906"/>
      <w:pgMar w:left="1417" w:right="1417" w:header="0" w:top="1701" w:footer="0" w:bottom="170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t-BR" w:eastAsia="en-US" w:bidi="ar-SA"/>
        <w14:ligatures w14:val="standardContextual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t-BR" w:eastAsia="en-US" w:bidi="ar-SA"/>
      <w14:ligatures w14:val="standardContextual"/>
    </w:rPr>
  </w:style>
  <w:style w:type="paragraph" w:styleId="Ttulo1">
    <w:name w:val="Heading 1"/>
    <w:basedOn w:val="Normal"/>
    <w:next w:val="Normal"/>
    <w:link w:val="Ttulo1Char"/>
    <w:uiPriority w:val="9"/>
    <w:qFormat/>
    <w:rsid w:val="00bc0e56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bc0e56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c0e56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c0e56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c0e56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c0e56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c0e56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c0e56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c0e56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tulo1Char" w:customStyle="1">
    <w:name w:val="Título 1 Char"/>
    <w:basedOn w:val="DefaultParagraphFont"/>
    <w:link w:val="Ttulo1"/>
    <w:uiPriority w:val="9"/>
    <w:qFormat/>
    <w:rsid w:val="00bc0e56"/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DefaultParagraphFont"/>
    <w:link w:val="Ttulo2"/>
    <w:uiPriority w:val="9"/>
    <w:qFormat/>
    <w:rsid w:val="00bc0e56"/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DefaultParagraphFont"/>
    <w:link w:val="Ttulo3"/>
    <w:uiPriority w:val="9"/>
    <w:qFormat/>
    <w:rsid w:val="00bc0e56"/>
    <w:rPr>
      <w:rFonts w:eastAsia="" w:cs="" w:cstheme="majorBidi" w:eastAsiaTheme="majorEastAsia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DefaultParagraphFont"/>
    <w:link w:val="Ttulo4"/>
    <w:uiPriority w:val="9"/>
    <w:semiHidden/>
    <w:qFormat/>
    <w:rsid w:val="00bc0e56"/>
    <w:rPr>
      <w:rFonts w:eastAsia="" w:cs="" w:cstheme="majorBidi" w:eastAsiaTheme="majorEastAsia"/>
      <w:i/>
      <w:iCs/>
      <w:color w:val="0F4761" w:themeColor="accent1" w:themeShade="bf"/>
    </w:rPr>
  </w:style>
  <w:style w:type="character" w:styleId="Ttulo5Char" w:customStyle="1">
    <w:name w:val="Título 5 Char"/>
    <w:basedOn w:val="DefaultParagraphFont"/>
    <w:link w:val="Ttulo5"/>
    <w:uiPriority w:val="9"/>
    <w:semiHidden/>
    <w:qFormat/>
    <w:rsid w:val="00bc0e56"/>
    <w:rPr>
      <w:rFonts w:eastAsia="" w:cs="" w:cstheme="majorBidi" w:eastAsiaTheme="majorEastAsia"/>
      <w:color w:val="0F4761" w:themeColor="accent1" w:themeShade="bf"/>
    </w:rPr>
  </w:style>
  <w:style w:type="character" w:styleId="Ttulo6Char" w:customStyle="1">
    <w:name w:val="Título 6 Char"/>
    <w:basedOn w:val="DefaultParagraphFont"/>
    <w:link w:val="Ttulo6"/>
    <w:uiPriority w:val="9"/>
    <w:semiHidden/>
    <w:qFormat/>
    <w:rsid w:val="00bc0e56"/>
    <w:rPr>
      <w:rFonts w:eastAsia="" w:cs="" w:cstheme="majorBidi" w:eastAsiaTheme="majorEastAsia"/>
      <w:i/>
      <w:iCs/>
      <w:color w:val="595959" w:themeColor="text1" w:themeTint="a6"/>
    </w:rPr>
  </w:style>
  <w:style w:type="character" w:styleId="Ttulo7Char" w:customStyle="1">
    <w:name w:val="Título 7 Char"/>
    <w:basedOn w:val="DefaultParagraphFont"/>
    <w:link w:val="Ttulo7"/>
    <w:uiPriority w:val="9"/>
    <w:semiHidden/>
    <w:qFormat/>
    <w:rsid w:val="00bc0e56"/>
    <w:rPr>
      <w:rFonts w:eastAsia="" w:cs="" w:cstheme="majorBidi" w:eastAsiaTheme="majorEastAsia"/>
      <w:color w:val="595959" w:themeColor="text1" w:themeTint="a6"/>
    </w:rPr>
  </w:style>
  <w:style w:type="character" w:styleId="Ttulo8Char" w:customStyle="1">
    <w:name w:val="Título 8 Char"/>
    <w:basedOn w:val="DefaultParagraphFont"/>
    <w:link w:val="Ttulo8"/>
    <w:uiPriority w:val="9"/>
    <w:semiHidden/>
    <w:qFormat/>
    <w:rsid w:val="00bc0e56"/>
    <w:rPr>
      <w:rFonts w:eastAsia="" w:cs="" w:cstheme="majorBidi" w:eastAsiaTheme="majorEastAsia"/>
      <w:i/>
      <w:iCs/>
      <w:color w:val="272727" w:themeColor="text1" w:themeTint="d8"/>
    </w:rPr>
  </w:style>
  <w:style w:type="character" w:styleId="Ttulo9Char" w:customStyle="1">
    <w:name w:val="Título 9 Char"/>
    <w:basedOn w:val="DefaultParagraphFont"/>
    <w:link w:val="Ttulo9"/>
    <w:uiPriority w:val="9"/>
    <w:semiHidden/>
    <w:qFormat/>
    <w:rsid w:val="00bc0e56"/>
    <w:rPr>
      <w:rFonts w:eastAsia="" w:cs="" w:cstheme="majorBidi" w:eastAsiaTheme="majorEastAsia"/>
      <w:color w:val="272727" w:themeColor="text1" w:themeTint="d8"/>
    </w:rPr>
  </w:style>
  <w:style w:type="character" w:styleId="TtuloChar" w:customStyle="1">
    <w:name w:val="Título Char"/>
    <w:basedOn w:val="DefaultParagraphFont"/>
    <w:link w:val="Ttulo"/>
    <w:uiPriority w:val="10"/>
    <w:qFormat/>
    <w:rsid w:val="00bc0e56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link w:val="Subttulo"/>
    <w:uiPriority w:val="11"/>
    <w:qFormat/>
    <w:rsid w:val="00bc0e56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Citao"/>
    <w:uiPriority w:val="29"/>
    <w:qFormat/>
    <w:rsid w:val="00bc0e5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bc0e56"/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DefaultParagraphFont"/>
    <w:link w:val="CitaoIntensa"/>
    <w:uiPriority w:val="30"/>
    <w:qFormat/>
    <w:rsid w:val="00bc0e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0e56"/>
    <w:rPr>
      <w:b/>
      <w:bCs/>
      <w:smallCaps/>
      <w:color w:val="0F4761" w:themeColor="accent1" w:themeShade="bf"/>
      <w:spacing w:val="5"/>
    </w:rPr>
  </w:style>
  <w:style w:type="character" w:styleId="ListLabel1">
    <w:name w:val="ListLabel 1"/>
    <w:qFormat/>
    <w:rPr>
      <w:sz w:val="20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sz w:val="20"/>
    </w:rPr>
  </w:style>
  <w:style w:type="character" w:styleId="ListLabel11">
    <w:name w:val="ListLabel 11"/>
    <w:qFormat/>
    <w:rPr>
      <w:sz w:val="20"/>
    </w:rPr>
  </w:style>
  <w:style w:type="character" w:styleId="ListLabel12">
    <w:name w:val="ListLabel 12"/>
    <w:qFormat/>
    <w:rPr>
      <w:sz w:val="20"/>
    </w:rPr>
  </w:style>
  <w:style w:type="character" w:styleId="ListLabel13">
    <w:name w:val="ListLabel 13"/>
    <w:qFormat/>
    <w:rPr>
      <w:sz w:val="20"/>
    </w:rPr>
  </w:style>
  <w:style w:type="character" w:styleId="ListLabel14">
    <w:name w:val="ListLabel 14"/>
    <w:qFormat/>
    <w:rPr>
      <w:sz w:val="20"/>
    </w:rPr>
  </w:style>
  <w:style w:type="character" w:styleId="ListLabel15">
    <w:name w:val="ListLabel 15"/>
    <w:qFormat/>
    <w:rPr>
      <w:sz w:val="20"/>
    </w:rPr>
  </w:style>
  <w:style w:type="character" w:styleId="ListLabel16">
    <w:name w:val="ListLabel 16"/>
    <w:qFormat/>
    <w:rPr>
      <w:sz w:val="20"/>
    </w:rPr>
  </w:style>
  <w:style w:type="character" w:styleId="ListLabel17">
    <w:name w:val="ListLabel 17"/>
    <w:qFormat/>
    <w:rPr>
      <w:sz w:val="20"/>
    </w:rPr>
  </w:style>
  <w:style w:type="character" w:styleId="ListLabel18">
    <w:name w:val="ListLabel 18"/>
    <w:qFormat/>
    <w:rPr>
      <w:sz w:val="20"/>
    </w:rPr>
  </w:style>
  <w:style w:type="character" w:styleId="ListLabel19">
    <w:name w:val="ListLabel 19"/>
    <w:qFormat/>
    <w:rPr>
      <w:sz w:val="20"/>
    </w:rPr>
  </w:style>
  <w:style w:type="character" w:styleId="ListLabel20">
    <w:name w:val="ListLabel 20"/>
    <w:qFormat/>
    <w:rPr>
      <w:sz w:val="20"/>
    </w:rPr>
  </w:style>
  <w:style w:type="character" w:styleId="ListLabel21">
    <w:name w:val="ListLabel 21"/>
    <w:qFormat/>
    <w:rPr>
      <w:sz w:val="20"/>
    </w:rPr>
  </w:style>
  <w:style w:type="character" w:styleId="ListLabel22">
    <w:name w:val="ListLabel 22"/>
    <w:qFormat/>
    <w:rPr>
      <w:sz w:val="20"/>
    </w:rPr>
  </w:style>
  <w:style w:type="character" w:styleId="ListLabel23">
    <w:name w:val="ListLabel 23"/>
    <w:qFormat/>
    <w:rPr>
      <w:sz w:val="20"/>
    </w:rPr>
  </w:style>
  <w:style w:type="character" w:styleId="ListLabel24">
    <w:name w:val="ListLabel 24"/>
    <w:qFormat/>
    <w:rPr>
      <w:sz w:val="20"/>
    </w:rPr>
  </w:style>
  <w:style w:type="character" w:styleId="ListLabel25">
    <w:name w:val="ListLabel 25"/>
    <w:qFormat/>
    <w:rPr>
      <w:sz w:val="20"/>
    </w:rPr>
  </w:style>
  <w:style w:type="character" w:styleId="ListLabel26">
    <w:name w:val="ListLabel 26"/>
    <w:qFormat/>
    <w:rPr>
      <w:sz w:val="20"/>
    </w:rPr>
  </w:style>
  <w:style w:type="character" w:styleId="ListLabel27">
    <w:name w:val="ListLabel 27"/>
    <w:qFormat/>
    <w:rPr>
      <w:sz w:val="20"/>
    </w:rPr>
  </w:style>
  <w:style w:type="character" w:styleId="ListLabel28">
    <w:name w:val="ListLabel 28"/>
    <w:qFormat/>
    <w:rPr>
      <w:sz w:val="20"/>
    </w:rPr>
  </w:style>
  <w:style w:type="character" w:styleId="ListLabel29">
    <w:name w:val="ListLabel 29"/>
    <w:qFormat/>
    <w:rPr>
      <w:sz w:val="20"/>
    </w:rPr>
  </w:style>
  <w:style w:type="character" w:styleId="ListLabel30">
    <w:name w:val="ListLabel 30"/>
    <w:qFormat/>
    <w:rPr>
      <w:sz w:val="20"/>
    </w:rPr>
  </w:style>
  <w:style w:type="character" w:styleId="ListLabel31">
    <w:name w:val="ListLabel 31"/>
    <w:qFormat/>
    <w:rPr>
      <w:sz w:val="20"/>
    </w:rPr>
  </w:style>
  <w:style w:type="character" w:styleId="ListLabel32">
    <w:name w:val="ListLabel 32"/>
    <w:qFormat/>
    <w:rPr>
      <w:sz w:val="20"/>
    </w:rPr>
  </w:style>
  <w:style w:type="character" w:styleId="ListLabel33">
    <w:name w:val="ListLabel 33"/>
    <w:qFormat/>
    <w:rPr>
      <w:sz w:val="20"/>
    </w:rPr>
  </w:style>
  <w:style w:type="character" w:styleId="ListLabel34">
    <w:name w:val="ListLabel 34"/>
    <w:qFormat/>
    <w:rPr>
      <w:sz w:val="20"/>
    </w:rPr>
  </w:style>
  <w:style w:type="character" w:styleId="ListLabel35">
    <w:name w:val="ListLabel 35"/>
    <w:qFormat/>
    <w:rPr>
      <w:sz w:val="20"/>
    </w:rPr>
  </w:style>
  <w:style w:type="character" w:styleId="ListLabel36">
    <w:name w:val="ListLabel 36"/>
    <w:qFormat/>
    <w:rPr>
      <w:sz w:val="20"/>
    </w:rPr>
  </w:style>
  <w:style w:type="character" w:styleId="ListLabel37">
    <w:name w:val="ListLabel 37"/>
    <w:qFormat/>
    <w:rPr>
      <w:sz w:val="20"/>
    </w:rPr>
  </w:style>
  <w:style w:type="character" w:styleId="ListLabel38">
    <w:name w:val="ListLabel 38"/>
    <w:qFormat/>
    <w:rPr>
      <w:sz w:val="20"/>
    </w:rPr>
  </w:style>
  <w:style w:type="character" w:styleId="ListLabel39">
    <w:name w:val="ListLabel 39"/>
    <w:qFormat/>
    <w:rPr>
      <w:sz w:val="20"/>
    </w:rPr>
  </w:style>
  <w:style w:type="character" w:styleId="ListLabel40">
    <w:name w:val="ListLabel 40"/>
    <w:qFormat/>
    <w:rPr>
      <w:sz w:val="20"/>
    </w:rPr>
  </w:style>
  <w:style w:type="character" w:styleId="ListLabel41">
    <w:name w:val="ListLabel 41"/>
    <w:qFormat/>
    <w:rPr>
      <w:sz w:val="20"/>
    </w:rPr>
  </w:style>
  <w:style w:type="character" w:styleId="ListLabel42">
    <w:name w:val="ListLabel 42"/>
    <w:qFormat/>
    <w:rPr>
      <w:sz w:val="20"/>
    </w:rPr>
  </w:style>
  <w:style w:type="character" w:styleId="ListLabel43">
    <w:name w:val="ListLabel 43"/>
    <w:qFormat/>
    <w:rPr>
      <w:sz w:val="20"/>
    </w:rPr>
  </w:style>
  <w:style w:type="character" w:styleId="ListLabel44">
    <w:name w:val="ListLabel 44"/>
    <w:qFormat/>
    <w:rPr>
      <w:sz w:val="20"/>
    </w:rPr>
  </w:style>
  <w:style w:type="character" w:styleId="ListLabel45">
    <w:name w:val="ListLabel 45"/>
    <w:qFormat/>
    <w:rPr>
      <w:sz w:val="20"/>
    </w:rPr>
  </w:style>
  <w:style w:type="character" w:styleId="ListLabel46">
    <w:name w:val="ListLabel 46"/>
    <w:qFormat/>
    <w:rPr>
      <w:sz w:val="20"/>
    </w:rPr>
  </w:style>
  <w:style w:type="character" w:styleId="ListLabel47">
    <w:name w:val="ListLabel 47"/>
    <w:qFormat/>
    <w:rPr>
      <w:sz w:val="20"/>
    </w:rPr>
  </w:style>
  <w:style w:type="character" w:styleId="ListLabel48">
    <w:name w:val="ListLabel 48"/>
    <w:qFormat/>
    <w:rPr>
      <w:sz w:val="20"/>
    </w:rPr>
  </w:style>
  <w:style w:type="character" w:styleId="ListLabel49">
    <w:name w:val="ListLabel 49"/>
    <w:qFormat/>
    <w:rPr>
      <w:sz w:val="20"/>
    </w:rPr>
  </w:style>
  <w:style w:type="character" w:styleId="ListLabel50">
    <w:name w:val="ListLabel 50"/>
    <w:qFormat/>
    <w:rPr>
      <w:sz w:val="20"/>
    </w:rPr>
  </w:style>
  <w:style w:type="character" w:styleId="ListLabel51">
    <w:name w:val="ListLabel 51"/>
    <w:qFormat/>
    <w:rPr>
      <w:sz w:val="20"/>
    </w:rPr>
  </w:style>
  <w:style w:type="character" w:styleId="ListLabel52">
    <w:name w:val="ListLabel 52"/>
    <w:qFormat/>
    <w:rPr>
      <w:sz w:val="20"/>
    </w:rPr>
  </w:style>
  <w:style w:type="character" w:styleId="ListLabel53">
    <w:name w:val="ListLabel 53"/>
    <w:qFormat/>
    <w:rPr>
      <w:sz w:val="20"/>
    </w:rPr>
  </w:style>
  <w:style w:type="character" w:styleId="ListLabel54">
    <w:name w:val="ListLabel 54"/>
    <w:qFormat/>
    <w:rPr>
      <w:sz w:val="20"/>
    </w:rPr>
  </w:style>
  <w:style w:type="character" w:styleId="ListLabel55">
    <w:name w:val="ListLabel 55"/>
    <w:qFormat/>
    <w:rPr>
      <w:sz w:val="20"/>
    </w:rPr>
  </w:style>
  <w:style w:type="character" w:styleId="ListLabel56">
    <w:name w:val="ListLabel 56"/>
    <w:qFormat/>
    <w:rPr>
      <w:sz w:val="20"/>
    </w:rPr>
  </w:style>
  <w:style w:type="character" w:styleId="ListLabel57">
    <w:name w:val="ListLabel 57"/>
    <w:qFormat/>
    <w:rPr>
      <w:sz w:val="20"/>
    </w:rPr>
  </w:style>
  <w:style w:type="character" w:styleId="ListLabel58">
    <w:name w:val="ListLabel 58"/>
    <w:qFormat/>
    <w:rPr>
      <w:sz w:val="20"/>
    </w:rPr>
  </w:style>
  <w:style w:type="character" w:styleId="ListLabel59">
    <w:name w:val="ListLabel 59"/>
    <w:qFormat/>
    <w:rPr>
      <w:sz w:val="20"/>
    </w:rPr>
  </w:style>
  <w:style w:type="character" w:styleId="ListLabel60">
    <w:name w:val="ListLabel 60"/>
    <w:qFormat/>
    <w:rPr>
      <w:sz w:val="20"/>
    </w:rPr>
  </w:style>
  <w:style w:type="character" w:styleId="ListLabel61">
    <w:name w:val="ListLabel 61"/>
    <w:qFormat/>
    <w:rPr>
      <w:sz w:val="20"/>
    </w:rPr>
  </w:style>
  <w:style w:type="character" w:styleId="ListLabel62">
    <w:name w:val="ListLabel 62"/>
    <w:qFormat/>
    <w:rPr>
      <w:sz w:val="20"/>
    </w:rPr>
  </w:style>
  <w:style w:type="character" w:styleId="ListLabel63">
    <w:name w:val="ListLabel 63"/>
    <w:qFormat/>
    <w:rPr>
      <w:sz w:val="20"/>
    </w:rPr>
  </w:style>
  <w:style w:type="character" w:styleId="ListLabel64">
    <w:name w:val="ListLabel 64"/>
    <w:qFormat/>
    <w:rPr>
      <w:sz w:val="20"/>
    </w:rPr>
  </w:style>
  <w:style w:type="character" w:styleId="ListLabel65">
    <w:name w:val="ListLabel 65"/>
    <w:qFormat/>
    <w:rPr>
      <w:sz w:val="20"/>
    </w:rPr>
  </w:style>
  <w:style w:type="character" w:styleId="ListLabel66">
    <w:name w:val="ListLabel 66"/>
    <w:qFormat/>
    <w:rPr>
      <w:sz w:val="20"/>
    </w:rPr>
  </w:style>
  <w:style w:type="character" w:styleId="ListLabel67">
    <w:name w:val="ListLabel 67"/>
    <w:qFormat/>
    <w:rPr>
      <w:sz w:val="20"/>
    </w:rPr>
  </w:style>
  <w:style w:type="character" w:styleId="ListLabel68">
    <w:name w:val="ListLabel 68"/>
    <w:qFormat/>
    <w:rPr>
      <w:sz w:val="20"/>
    </w:rPr>
  </w:style>
  <w:style w:type="character" w:styleId="ListLabel69">
    <w:name w:val="ListLabel 69"/>
    <w:qFormat/>
    <w:rPr>
      <w:sz w:val="20"/>
    </w:rPr>
  </w:style>
  <w:style w:type="character" w:styleId="ListLabel70">
    <w:name w:val="ListLabel 70"/>
    <w:qFormat/>
    <w:rPr>
      <w:sz w:val="20"/>
    </w:rPr>
  </w:style>
  <w:style w:type="character" w:styleId="ListLabel71">
    <w:name w:val="ListLabel 71"/>
    <w:qFormat/>
    <w:rPr>
      <w:sz w:val="20"/>
    </w:rPr>
  </w:style>
  <w:style w:type="character" w:styleId="ListLabel72">
    <w:name w:val="ListLabel 72"/>
    <w:qFormat/>
    <w:rPr>
      <w:sz w:val="20"/>
    </w:rPr>
  </w:style>
  <w:style w:type="character" w:styleId="ListLabel73">
    <w:name w:val="ListLabel 73"/>
    <w:qFormat/>
    <w:rPr>
      <w:sz w:val="20"/>
    </w:rPr>
  </w:style>
  <w:style w:type="character" w:styleId="ListLabel74">
    <w:name w:val="ListLabel 74"/>
    <w:qFormat/>
    <w:rPr>
      <w:sz w:val="20"/>
    </w:rPr>
  </w:style>
  <w:style w:type="character" w:styleId="ListLabel75">
    <w:name w:val="ListLabel 75"/>
    <w:qFormat/>
    <w:rPr>
      <w:sz w:val="20"/>
    </w:rPr>
  </w:style>
  <w:style w:type="character" w:styleId="ListLabel76">
    <w:name w:val="ListLabel 76"/>
    <w:qFormat/>
    <w:rPr>
      <w:sz w:val="20"/>
    </w:rPr>
  </w:style>
  <w:style w:type="character" w:styleId="ListLabel77">
    <w:name w:val="ListLabel 77"/>
    <w:qFormat/>
    <w:rPr>
      <w:sz w:val="20"/>
    </w:rPr>
  </w:style>
  <w:style w:type="character" w:styleId="ListLabel78">
    <w:name w:val="ListLabel 78"/>
    <w:qFormat/>
    <w:rPr>
      <w:sz w:val="20"/>
    </w:rPr>
  </w:style>
  <w:style w:type="character" w:styleId="ListLabel79">
    <w:name w:val="ListLabel 79"/>
    <w:qFormat/>
    <w:rPr>
      <w:sz w:val="20"/>
    </w:rPr>
  </w:style>
  <w:style w:type="character" w:styleId="ListLabel80">
    <w:name w:val="ListLabel 80"/>
    <w:qFormat/>
    <w:rPr>
      <w:sz w:val="20"/>
    </w:rPr>
  </w:style>
  <w:style w:type="character" w:styleId="ListLabel81">
    <w:name w:val="ListLabel 81"/>
    <w:qFormat/>
    <w:rPr>
      <w:sz w:val="20"/>
    </w:rPr>
  </w:style>
  <w:style w:type="character" w:styleId="ListLabel82">
    <w:name w:val="ListLabel 82"/>
    <w:qFormat/>
    <w:rPr>
      <w:sz w:val="20"/>
    </w:rPr>
  </w:style>
  <w:style w:type="character" w:styleId="ListLabel83">
    <w:name w:val="ListLabel 83"/>
    <w:qFormat/>
    <w:rPr>
      <w:sz w:val="20"/>
    </w:rPr>
  </w:style>
  <w:style w:type="character" w:styleId="ListLabel84">
    <w:name w:val="ListLabel 84"/>
    <w:qFormat/>
    <w:rPr>
      <w:sz w:val="20"/>
    </w:rPr>
  </w:style>
  <w:style w:type="character" w:styleId="ListLabel85">
    <w:name w:val="ListLabel 85"/>
    <w:qFormat/>
    <w:rPr>
      <w:sz w:val="20"/>
    </w:rPr>
  </w:style>
  <w:style w:type="character" w:styleId="ListLabel86">
    <w:name w:val="ListLabel 86"/>
    <w:qFormat/>
    <w:rPr>
      <w:sz w:val="20"/>
    </w:rPr>
  </w:style>
  <w:style w:type="character" w:styleId="ListLabel87">
    <w:name w:val="ListLabel 87"/>
    <w:qFormat/>
    <w:rPr>
      <w:sz w:val="20"/>
    </w:rPr>
  </w:style>
  <w:style w:type="character" w:styleId="ListLabel88">
    <w:name w:val="ListLabel 88"/>
    <w:qFormat/>
    <w:rPr>
      <w:sz w:val="20"/>
    </w:rPr>
  </w:style>
  <w:style w:type="character" w:styleId="ListLabel89">
    <w:name w:val="ListLabel 89"/>
    <w:qFormat/>
    <w:rPr>
      <w:sz w:val="20"/>
    </w:rPr>
  </w:style>
  <w:style w:type="character" w:styleId="ListLabel90">
    <w:name w:val="ListLabel 90"/>
    <w:qFormat/>
    <w:rPr>
      <w:sz w:val="20"/>
    </w:rPr>
  </w:style>
  <w:style w:type="character" w:styleId="ListLabel91">
    <w:name w:val="ListLabel 91"/>
    <w:qFormat/>
    <w:rPr>
      <w:sz w:val="20"/>
    </w:rPr>
  </w:style>
  <w:style w:type="character" w:styleId="ListLabel92">
    <w:name w:val="ListLabel 92"/>
    <w:qFormat/>
    <w:rPr>
      <w:sz w:val="20"/>
    </w:rPr>
  </w:style>
  <w:style w:type="character" w:styleId="ListLabel93">
    <w:name w:val="ListLabel 93"/>
    <w:qFormat/>
    <w:rPr>
      <w:sz w:val="20"/>
    </w:rPr>
  </w:style>
  <w:style w:type="character" w:styleId="ListLabel94">
    <w:name w:val="ListLabel 94"/>
    <w:qFormat/>
    <w:rPr>
      <w:sz w:val="20"/>
    </w:rPr>
  </w:style>
  <w:style w:type="character" w:styleId="ListLabel95">
    <w:name w:val="ListLabel 95"/>
    <w:qFormat/>
    <w:rPr>
      <w:sz w:val="20"/>
    </w:rPr>
  </w:style>
  <w:style w:type="character" w:styleId="ListLabel96">
    <w:name w:val="ListLabel 96"/>
    <w:qFormat/>
    <w:rPr>
      <w:sz w:val="20"/>
    </w:rPr>
  </w:style>
  <w:style w:type="character" w:styleId="ListLabel97">
    <w:name w:val="ListLabel 97"/>
    <w:qFormat/>
    <w:rPr>
      <w:sz w:val="20"/>
    </w:rPr>
  </w:style>
  <w:style w:type="character" w:styleId="ListLabel98">
    <w:name w:val="ListLabel 98"/>
    <w:qFormat/>
    <w:rPr>
      <w:sz w:val="20"/>
    </w:rPr>
  </w:style>
  <w:style w:type="character" w:styleId="ListLabel99">
    <w:name w:val="ListLabel 99"/>
    <w:qFormat/>
    <w:rPr>
      <w:sz w:val="20"/>
    </w:rPr>
  </w:style>
  <w:style w:type="character" w:styleId="ListLabel100">
    <w:name w:val="ListLabel 100"/>
    <w:qFormat/>
    <w:rPr>
      <w:sz w:val="20"/>
    </w:rPr>
  </w:style>
  <w:style w:type="character" w:styleId="ListLabel101">
    <w:name w:val="ListLabel 101"/>
    <w:qFormat/>
    <w:rPr>
      <w:sz w:val="20"/>
    </w:rPr>
  </w:style>
  <w:style w:type="character" w:styleId="ListLabel102">
    <w:name w:val="ListLabel 102"/>
    <w:qFormat/>
    <w:rPr>
      <w:sz w:val="20"/>
    </w:rPr>
  </w:style>
  <w:style w:type="character" w:styleId="ListLabel103">
    <w:name w:val="ListLabel 103"/>
    <w:qFormat/>
    <w:rPr>
      <w:sz w:val="20"/>
    </w:rPr>
  </w:style>
  <w:style w:type="character" w:styleId="ListLabel104">
    <w:name w:val="ListLabel 104"/>
    <w:qFormat/>
    <w:rPr>
      <w:sz w:val="20"/>
    </w:rPr>
  </w:style>
  <w:style w:type="character" w:styleId="ListLabel105">
    <w:name w:val="ListLabel 105"/>
    <w:qFormat/>
    <w:rPr>
      <w:sz w:val="20"/>
    </w:rPr>
  </w:style>
  <w:style w:type="character" w:styleId="ListLabel106">
    <w:name w:val="ListLabel 106"/>
    <w:qFormat/>
    <w:rPr>
      <w:sz w:val="20"/>
    </w:rPr>
  </w:style>
  <w:style w:type="character" w:styleId="ListLabel107">
    <w:name w:val="ListLabel 107"/>
    <w:qFormat/>
    <w:rPr>
      <w:sz w:val="20"/>
    </w:rPr>
  </w:style>
  <w:style w:type="character" w:styleId="ListLabel108">
    <w:name w:val="ListLabel 108"/>
    <w:qFormat/>
    <w:rPr>
      <w:sz w:val="20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e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Normal"/>
    <w:link w:val="TtuloChar"/>
    <w:uiPriority w:val="10"/>
    <w:qFormat/>
    <w:rsid w:val="00bc0e56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c0e56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bc0e56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0e56"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bc0e56"/>
    <w:pPr>
      <w:pBdr>
        <w:top w:val="single" w:sz="4" w:space="10" w:color="0F4761"/>
        <w:bottom w:val="single" w:sz="4" w:space="10" w:color="0F4761"/>
      </w:pBdr>
      <w:spacing w:before="360" w:after="360"/>
      <w:ind w:left="864" w:right="864" w:hanging="0"/>
      <w:jc w:val="center"/>
    </w:pPr>
    <w:rPr>
      <w:i/>
      <w:iCs/>
      <w:color w:val="0F4761" w:themeColor="accent1" w:themeShade="bf"/>
    </w:rPr>
  </w:style>
  <w:style w:type="paragraph" w:styleId="NormalWeb">
    <w:name w:val="Normal (Web)"/>
    <w:basedOn w:val="Normal"/>
    <w:uiPriority w:val="99"/>
    <w:semiHidden/>
    <w:unhideWhenUsed/>
    <w:qFormat/>
    <w:rsid w:val="00bc0e56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lang w:eastAsia="pt-BR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bc0e5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deGrade6Colorida">
    <w:name w:val="Grid Table 6 Colorful"/>
    <w:basedOn w:val="Tabelanormal"/>
    <w:uiPriority w:val="51"/>
    <w:rsid w:val="00bc0e5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ade6Colorida-nfase6">
    <w:name w:val="Grid Table 6 Colorful Accent 6"/>
    <w:basedOn w:val="Tabelanormal"/>
    <w:uiPriority w:val="51"/>
    <w:rsid w:val="00bc0e56"/>
    <w:pPr>
      <w:spacing w:after="0" w:line="240" w:lineRule="auto"/>
    </w:pPr>
    <w:rPr>
      <w:color w:val="3A7C22" w:themeColor="accent6" w:themeShade="bf"/>
    </w:rPr>
    <w:tblPr>
      <w:tblStyleRowBandSize w:val="1"/>
      <w:tblStyleColBandSize w:val="1"/>
      <w:tblBorders>
        <w:top w:val="single" w:color="8DD873" w:themeColor="accent6" w:themeTint="99" w:sz="4" w:space="0"/>
        <w:left w:val="single" w:color="8DD873" w:themeColor="accent6" w:themeTint="99" w:sz="4" w:space="0"/>
        <w:bottom w:val="single" w:color="8DD873" w:themeColor="accent6" w:themeTint="99" w:sz="4" w:space="0"/>
        <w:right w:val="single" w:color="8DD873" w:themeColor="accent6" w:themeTint="99" w:sz="4" w:space="0"/>
        <w:insideH w:val="single" w:color="8DD873" w:themeColor="accent6" w:themeTint="99" w:sz="4" w:space="0"/>
        <w:insideV w:val="single" w:color="8DD873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8DD873" w:themeColor="accent6" w:sz="12" w:space="0"/>
        </w:tcBorders>
      </w:tcPr>
    </w:tblStylePr>
    <w:tblStylePr w:type="lastRow">
      <w:rPr>
        <w:b/>
        <w:bCs/>
      </w:rPr>
      <w:tblPr/>
      <w:tcPr>
        <w:tcBorders>
          <w:top w:val="double" w:color="8DD873" w:themeColor="accent6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Application>LibreOffice/6.0.2.1$Windows_X86_64 LibreOffice_project/f7f06a8f319e4b62f9bc5095aa112a65d2f3ac89</Application>
  <Pages>7</Pages>
  <Words>1043</Words>
  <Characters>5936</Characters>
  <CharactersWithSpaces>6815</CharactersWithSpaces>
  <Paragraphs>158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2025-09-26T16:21:00Z</dcterms:created>
  <dc:creator>José Antunes da Silva</dc:creator>
  <dc:description/>
  <dc:language>pt-BR</dc:language>
  <cp:lastModifiedBy/>
  <dcterms:modified xsi:type="dcterms:W3CDTF">2025-09-26T15:42:52Z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